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129E" w:rsidRDefault="0067129E" w:rsidP="0067129E">
      <w:pPr>
        <w:pStyle w:val="Domylnie"/>
        <w:jc w:val="right"/>
      </w:pPr>
      <w:r>
        <w:rPr>
          <w:rFonts w:ascii="Times New Roman" w:hAnsi="Times New Roman" w:cs="Times New Roman"/>
        </w:rPr>
        <w:t>Załącznik nr 3 do SIWZ</w:t>
      </w:r>
    </w:p>
    <w:p w:rsidR="00D52285" w:rsidRDefault="00D52285" w:rsidP="0067129E">
      <w:pPr>
        <w:pStyle w:val="Domylnie"/>
        <w:jc w:val="center"/>
        <w:rPr>
          <w:rFonts w:ascii="Times New Roman" w:hAnsi="Times New Roman" w:cs="Times New Roman"/>
          <w:b/>
        </w:rPr>
      </w:pPr>
    </w:p>
    <w:p w:rsidR="0067129E" w:rsidRDefault="0067129E" w:rsidP="0067129E">
      <w:pPr>
        <w:pStyle w:val="Domylnie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OŚWIADCZENIE O BRAKU PODSTAW DO WYKLUCZENIA</w:t>
      </w:r>
    </w:p>
    <w:p w:rsidR="00D52285" w:rsidRDefault="00D52285" w:rsidP="0067129E">
      <w:pPr>
        <w:pStyle w:val="Domylnie"/>
        <w:jc w:val="center"/>
      </w:pPr>
    </w:p>
    <w:p w:rsidR="0067129E" w:rsidRPr="00881038" w:rsidRDefault="0067129E" w:rsidP="00881038">
      <w:pPr>
        <w:pStyle w:val="Domylnie"/>
        <w:jc w:val="center"/>
        <w:rPr>
          <w:color w:val="auto"/>
        </w:rPr>
      </w:pPr>
      <w:r w:rsidRPr="00F110DB">
        <w:rPr>
          <w:rFonts w:ascii="Times New Roman" w:hAnsi="Times New Roman" w:cs="Times New Roman"/>
          <w:color w:val="auto"/>
        </w:rPr>
        <w:t>Przystępując do postępowania na</w:t>
      </w:r>
      <w:r w:rsidRPr="00F110DB">
        <w:rPr>
          <w:rFonts w:ascii="Times New Roman" w:hAnsi="Times New Roman" w:cs="Times New Roman"/>
          <w:b/>
          <w:color w:val="auto"/>
        </w:rPr>
        <w:t xml:space="preserve"> </w:t>
      </w:r>
      <w:r w:rsidRPr="00F110DB">
        <w:rPr>
          <w:color w:val="auto"/>
        </w:rPr>
        <w:t xml:space="preserve"> </w:t>
      </w:r>
      <w:r w:rsidR="00F110DB"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  <w:r w:rsidRPr="00F110DB">
        <w:rPr>
          <w:color w:val="auto"/>
        </w:rPr>
        <w:t xml:space="preserve"> </w:t>
      </w:r>
      <w:r w:rsidRPr="00F110DB">
        <w:rPr>
          <w:rFonts w:ascii="Times New Roman" w:hAnsi="Times New Roman" w:cs="Times New Roman"/>
          <w:color w:val="auto"/>
        </w:rPr>
        <w:t xml:space="preserve"> działając w imieniu Wykonawcy:</w:t>
      </w:r>
    </w:p>
    <w:p w:rsidR="0067129E" w:rsidRDefault="0067129E" w:rsidP="0067129E">
      <w:pPr>
        <w:pStyle w:val="Domylnie"/>
        <w:spacing w:after="0" w:line="100" w:lineRule="atLeast"/>
        <w:jc w:val="both"/>
      </w:pPr>
    </w:p>
    <w:p w:rsidR="00D52285" w:rsidRDefault="00D52285" w:rsidP="0067129E">
      <w:pPr>
        <w:pStyle w:val="Domylnie"/>
        <w:spacing w:after="0" w:line="100" w:lineRule="atLeast"/>
        <w:jc w:val="both"/>
      </w:pPr>
    </w:p>
    <w:p w:rsidR="00D52285" w:rsidRDefault="00D52285" w:rsidP="0067129E">
      <w:pPr>
        <w:pStyle w:val="Domylnie"/>
        <w:spacing w:after="0" w:line="100" w:lineRule="atLeast"/>
        <w:jc w:val="both"/>
      </w:pPr>
    </w:p>
    <w:p w:rsidR="0067129E" w:rsidRDefault="0067129E" w:rsidP="0067129E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>……………………………………………………………………………………….………......</w:t>
      </w:r>
    </w:p>
    <w:p w:rsidR="0067129E" w:rsidRDefault="0067129E" w:rsidP="0067129E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z w:val="20"/>
        </w:rPr>
        <w:t>(podać nazwę i adres Wykonawcy)</w:t>
      </w:r>
    </w:p>
    <w:p w:rsidR="00D52285" w:rsidRDefault="00D52285" w:rsidP="0067129E">
      <w:pPr>
        <w:pStyle w:val="Domylnie"/>
        <w:jc w:val="center"/>
        <w:rPr>
          <w:rFonts w:ascii="Times New Roman" w:hAnsi="Times New Roman" w:cs="Times New Roman"/>
          <w:b/>
        </w:rPr>
      </w:pPr>
    </w:p>
    <w:p w:rsidR="0067129E" w:rsidRDefault="0067129E" w:rsidP="0067129E">
      <w:pPr>
        <w:pStyle w:val="Domylnie"/>
        <w:jc w:val="center"/>
      </w:pPr>
      <w:r>
        <w:rPr>
          <w:rFonts w:ascii="Times New Roman" w:hAnsi="Times New Roman" w:cs="Times New Roman"/>
          <w:b/>
        </w:rPr>
        <w:t>Oświadczam, że na dzień składania ofert nie podlegam wykluczeniu z postępowania.</w:t>
      </w:r>
    </w:p>
    <w:p w:rsidR="0067129E" w:rsidRPr="00D55ED2" w:rsidRDefault="0067129E" w:rsidP="0067129E">
      <w:pPr>
        <w:pStyle w:val="Domylnie"/>
        <w:spacing w:after="0"/>
        <w:jc w:val="both"/>
        <w:rPr>
          <w:color w:val="auto"/>
        </w:rPr>
      </w:pPr>
      <w:r w:rsidRPr="00D55ED2">
        <w:rPr>
          <w:rFonts w:ascii="Times New Roman" w:hAnsi="Times New Roman" w:cs="Times New Roman"/>
          <w:color w:val="auto"/>
          <w:sz w:val="20"/>
        </w:rPr>
        <w:t>W przedmiotowym postępowaniu Zamawiający zgodnie z art. 24 ust. 1 pkt. 12-23 oraz ust. 5 pkt. 1 ustawy PZP wykluczy: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>wykonawcę, który nie wykazał spełniania warunków udziału w postępowaniu lub nie został zaproszony do negocjacji lub złożenia ofert wstępnych albo ofert, lub nie wykazał braku podstaw wykluczenia;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>wykonawcę będącego osobą fizyczną, którego prawomocnie skazano za przestępstwo: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 xml:space="preserve">o którym mowa w art. 165a, art. 181–188, art. 189a, art. 218–221, art. 228–230a, art. 250a, art. 258 lub art. 270–309 ustawy z dnia 6 czerwca 1997 r. – Kodeks karny (Dz. U. z 2017r.  poz. 2204, z </w:t>
      </w:r>
      <w:proofErr w:type="spellStart"/>
      <w:r w:rsidRPr="00D55ED2">
        <w:t>późn</w:t>
      </w:r>
      <w:proofErr w:type="spellEnd"/>
      <w:r w:rsidRPr="00D55ED2">
        <w:t xml:space="preserve">. zm.) lub art. 46 lub art. 48 ustawy z dnia 25 czerwca 2010 r. o sporcie (Dz. U. z 2017 r. poz. 1463 z </w:t>
      </w:r>
      <w:proofErr w:type="spellStart"/>
      <w:r w:rsidRPr="00D55ED2">
        <w:t>późn</w:t>
      </w:r>
      <w:proofErr w:type="spellEnd"/>
      <w:r w:rsidRPr="00D55ED2">
        <w:t>. zm.),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o charakterze terrorystycznym, o którym mowa w art. 115 § 20 ustawy z dnia 6 czerwca 1997 r. – Kodeks karny,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skarbowe,</w:t>
      </w:r>
    </w:p>
    <w:p w:rsidR="0067129E" w:rsidRPr="00D55ED2" w:rsidRDefault="0067129E" w:rsidP="00911BDF">
      <w:pPr>
        <w:pStyle w:val="Akapitzlist"/>
        <w:numPr>
          <w:ilvl w:val="0"/>
          <w:numId w:val="38"/>
        </w:numPr>
        <w:suppressAutoHyphens/>
        <w:spacing w:line="252" w:lineRule="auto"/>
        <w:contextualSpacing/>
        <w:jc w:val="both"/>
      </w:pPr>
      <w:r w:rsidRPr="00D55ED2">
        <w:t>o którym mowa w art. 9 lub art. 10 ustawy z dnia 15 czerwca 2012 r. o skutkach powierzania wykonywania pracy cudzoziemcom przebywającym wbrew przepisom na terytorium Rzeczypospolitej Polskiej (Dz. U. poz. 769);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line="252" w:lineRule="auto"/>
        <w:contextualSpacing/>
        <w:jc w:val="both"/>
      </w:pPr>
      <w:r w:rsidRPr="00D55ED2">
        <w:t xml:space="preserve">wykonawcę, jeżeli urzędującego członka jego organu zarządzającego lub nadzorczego, wspólnika spółki w spółce jawnej lub partnerskiej albo </w:t>
      </w:r>
      <w:proofErr w:type="spellStart"/>
      <w:r w:rsidRPr="00D55ED2">
        <w:t>komplementariusza</w:t>
      </w:r>
      <w:proofErr w:type="spellEnd"/>
      <w:r w:rsidRPr="00D55ED2">
        <w:t xml:space="preserve"> w spółce komandytowej lub komandytowo-akcyjnej lub prokurenta prawomocnie skazano za przestępstwo, o którym mowa w </w:t>
      </w:r>
      <w:proofErr w:type="spellStart"/>
      <w:r w:rsidRPr="00D55ED2">
        <w:t>pkt</w:t>
      </w:r>
      <w:proofErr w:type="spellEnd"/>
      <w:r w:rsidRPr="00D55ED2">
        <w:t xml:space="preserve"> 2;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wobec którego wydano prawomocny wyrok sądu lub ostateczną decyzję administracyjną o zaleganiu z uiszczeniem podatków, opłat lub składek na ubezpieczenia społeczne lub zdrowotne, chyba że wykonawca dokonał płatności należnych podatków, opłat lub składek na ubezpieczenia społeczne lub zdrowotne wraz z odsetkami lub grzywnami lub zawarł wiążące porozumienie w sprawie spłaty tych należności;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w wyniku zamierzonego działania lub rażącego niedbalstwa wprowadził zamawiającego w błąd przy przedstawieniu informacji, że nie podlega wykluczeniu, spełnia warunki udziału w postępowaniu lub kryteria selekcji, lub który zataił te informacje lub nie jest w stanie przedstawić wymaganych dokumentów;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w wyniku lekkomyślności lub niedbalstwa przedstawił informacje wprowadzające w błąd zamawiającego, mogące mieć istotny wpływ na decyzje podejmowane przez zamawiającego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bezprawnie wpływał lub próbował wpłynąć na czynności zamawiającego lub pozyskać informacje poufne, mogące dać mu przewagę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brał udział w przygotowaniu postępowania o udzielenie zamówienia lub którego pracownik, a także osoba wykonująca pracę na podstawie umowy zlecenia, o dzieło, agencyjnej lub innej umowy o świadczenie usług, brał udział w przygotowaniu takiego postępowania, chyba że spowodowane tym zakłócenie konkurencji może być wyeliminowane w inny sposób niż przez wykluczenie wykonawcy z udziału w postępowaniu;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który z innymi wykonawcami zawarł porozumienie mające na celu zakłócenie konkurencji między wykonawcami w postępowaniu o udzielenie zamówienia, co zamawiający jest w stanie wykazać za pomocą stosownych środków dowodowych;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 będącego podmiotem zbiorowym, wobec którego sąd orzekł zakaz ubiegania się  o zamówienia publiczne na podstawie ustawy z dnia 28 października 2002 r. o odpowiedzialności podmiotów zbiorowych za czyny zabronione pod groźbą kary (Dz. U. z 2015 r. poz. 1212, 1844 i 1855 oraz z 2016 r. poz. 437);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>wykonawcę, wobec którego orzeczono tytułem środka zapobiegawczego zakaz ubiegania się o zamówienia publiczne;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 xml:space="preserve">wykonawców, którzy należąc do tej samej grupy kapitałowej, w rozumieniu ustawy z dnia 16 lutego 2007 r. o ochronie konkurencji i konsumentów (Dz. U. z 2018 r. poz. 798 z </w:t>
      </w:r>
      <w:proofErr w:type="spellStart"/>
      <w:r w:rsidRPr="00D55ED2">
        <w:t>późn</w:t>
      </w:r>
      <w:proofErr w:type="spellEnd"/>
      <w:r w:rsidRPr="00D55ED2">
        <w:t xml:space="preserve">. zm.), złożyli odrębne oferty, oferty częściowe lub </w:t>
      </w:r>
      <w:r w:rsidRPr="00D55ED2">
        <w:lastRenderedPageBreak/>
        <w:t>wnioski o dopuszczenie do udziału w postępowaniu, chyba że wykażą, że istniejące między nimi powiązania nie prowadzą do zakłócenia konkurencji w postępowaniu o udzielenie zamówienia;</w:t>
      </w:r>
    </w:p>
    <w:p w:rsidR="0067129E" w:rsidRPr="00D55ED2" w:rsidRDefault="0067129E" w:rsidP="00911BDF">
      <w:pPr>
        <w:pStyle w:val="Akapitzlist"/>
        <w:numPr>
          <w:ilvl w:val="0"/>
          <w:numId w:val="37"/>
        </w:numPr>
        <w:suppressAutoHyphens/>
        <w:spacing w:after="160" w:line="252" w:lineRule="auto"/>
        <w:contextualSpacing/>
        <w:jc w:val="both"/>
      </w:pPr>
      <w:r w:rsidRPr="00D55ED2">
        <w:t xml:space="preserve">wykonawcę w stosunku do którego otwarto likwidację, w zatwierdzonym przez sąd układzie w postępowaniu restrukturyzacyjnym jest przewidziane zaspokojenie wierzycieli przez likwidację jego majątku lub sąd zarządził likwidację jego majątku w trybie art. 332 ust. 1 ustawy z dnia 15 maja 2015 r. - Prawo restrukturyzacyjne (Dz. U.  z 2017 poz. 1508, z </w:t>
      </w:r>
      <w:proofErr w:type="spellStart"/>
      <w:r w:rsidRPr="00D55ED2">
        <w:t>późn</w:t>
      </w:r>
      <w:proofErr w:type="spellEnd"/>
      <w:r w:rsidRPr="00D55ED2">
        <w:t xml:space="preserve">. zm.) lub którego upadłość ogłoszono, z wyjątkiem wykonawcy, który po ogłoszeniu upadłości zawarł układ zatwierdzony prawomocnym postanowieniem sądu, jeżeli układ nie przewiduje zaspokojenia wierzycieli przez likwidację majątku upadłego, chyba że sąd zarządził likwidację jego majątku w trybie art. 366 ust. 1 ustawy z dnia 28 lutego 2003 r. – Prawo upadłościowe (Dz. U. z 2017 r. poz. 2344, z </w:t>
      </w:r>
      <w:proofErr w:type="spellStart"/>
      <w:r w:rsidRPr="00D55ED2">
        <w:t>późn</w:t>
      </w:r>
      <w:proofErr w:type="spellEnd"/>
      <w:r w:rsidRPr="00D55ED2">
        <w:t>. zm.),</w:t>
      </w:r>
    </w:p>
    <w:p w:rsidR="0067129E" w:rsidRDefault="0067129E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23671B" w:rsidRDefault="0023671B" w:rsidP="0067129E">
      <w:pPr>
        <w:pStyle w:val="Domylnie"/>
        <w:spacing w:after="0" w:line="100" w:lineRule="atLeast"/>
        <w:jc w:val="both"/>
      </w:pPr>
    </w:p>
    <w:p w:rsidR="0067129E" w:rsidRDefault="0067129E" w:rsidP="0067129E">
      <w:pPr>
        <w:pStyle w:val="Domylnie"/>
        <w:spacing w:after="0" w:line="100" w:lineRule="atLeast"/>
        <w:ind w:left="3540"/>
        <w:jc w:val="both"/>
      </w:pP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67129E" w:rsidRDefault="0067129E" w:rsidP="0067129E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67129E" w:rsidRDefault="0067129E">
      <w:pPr>
        <w:spacing w:after="200" w:line="276" w:lineRule="auto"/>
        <w:rPr>
          <w:b/>
          <w:bCs/>
          <w:lang w:eastAsia="ar-SA"/>
        </w:rPr>
      </w:pPr>
    </w:p>
    <w:sectPr w:rsidR="0067129E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7FCD" w:rsidRDefault="00237FCD" w:rsidP="006C48AF">
      <w:r>
        <w:separator/>
      </w:r>
    </w:p>
  </w:endnote>
  <w:endnote w:type="continuationSeparator" w:id="0">
    <w:p w:rsidR="00237FCD" w:rsidRDefault="00237FCD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9D30E2" w:rsidRPr="009D30E2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7FCD" w:rsidRDefault="00237FCD" w:rsidP="006C48AF">
      <w:r>
        <w:separator/>
      </w:r>
    </w:p>
  </w:footnote>
  <w:footnote w:type="continuationSeparator" w:id="0">
    <w:p w:rsidR="00237FCD" w:rsidRDefault="00237FCD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0050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37FCD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D30E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C42386"/>
    <w:rsid w:val="00C42A78"/>
    <w:rsid w:val="00C6033B"/>
    <w:rsid w:val="00C639D6"/>
    <w:rsid w:val="00C90954"/>
    <w:rsid w:val="00CA11FF"/>
    <w:rsid w:val="00CA7703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44668A-7F43-44E2-AF32-C521B846F9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740</Words>
  <Characters>4444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2018-06-21T07:50:00Z</dcterms:created>
  <dcterms:modified xsi:type="dcterms:W3CDTF">2018-06-21T07:50:00Z</dcterms:modified>
</cp:coreProperties>
</file>